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5" w:type="dxa"/>
        <w:tblLayout w:type="fixed"/>
        <w:tblCellMar>
          <w:top w:w="130" w:type="dxa"/>
          <w:left w:w="43" w:type="dxa"/>
          <w:bottom w:w="130" w:type="dxa"/>
          <w:right w:w="43" w:type="dxa"/>
        </w:tblCellMar>
        <w:tblLook w:val="04A0" w:firstRow="1" w:lastRow="0" w:firstColumn="1" w:lastColumn="0" w:noHBand="0" w:noVBand="1"/>
      </w:tblPr>
      <w:tblGrid>
        <w:gridCol w:w="441"/>
        <w:gridCol w:w="2482"/>
        <w:gridCol w:w="3101"/>
        <w:gridCol w:w="979"/>
        <w:gridCol w:w="890"/>
        <w:gridCol w:w="1332"/>
        <w:gridCol w:w="890"/>
      </w:tblGrid>
      <w:tr w:rsidR="00F97CA1" w:rsidRPr="00031A25" w14:paraId="5FB04E40" w14:textId="77777777" w:rsidTr="00C75D90">
        <w:trPr>
          <w:trHeight w:val="864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3688BB6" w14:textId="22103ADD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Rank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6C2C4F4" w14:textId="77777777" w:rsidR="00F97CA1" w:rsidRPr="00B23724" w:rsidRDefault="00F97CA1" w:rsidP="00B23724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Company name</w:t>
            </w:r>
          </w:p>
          <w:p w14:paraId="72E9E46D" w14:textId="77777777" w:rsidR="00F97CA1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Address</w:t>
            </w:r>
          </w:p>
          <w:p w14:paraId="755F95DA" w14:textId="77777777" w:rsidR="00F97CA1" w:rsidRPr="00B23724" w:rsidRDefault="00F97CA1" w:rsidP="00B23724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Phone</w:t>
            </w:r>
          </w:p>
          <w:p w14:paraId="6CC4AFD0" w14:textId="6F04BF6F" w:rsidR="00F97CA1" w:rsidRPr="00031A25" w:rsidRDefault="00F97CA1" w:rsidP="00B23724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Website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</w:tcMar>
          </w:tcPr>
          <w:p w14:paraId="71FA43BD" w14:textId="77777777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Principal(s)</w:t>
            </w:r>
          </w:p>
          <w:p w14:paraId="2FE12AAB" w14:textId="2CFEB3D1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Email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099B194" w14:textId="38719DB8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Number of attorneys</w:t>
            </w:r>
            <w:r>
              <w:t xml:space="preserve"> </w:t>
            </w: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(in Westchester County)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33E4DB6" w14:textId="7C6C7D11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Number of partners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8381BE0" w14:textId="29EB8537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Feature practices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B925BA2" w14:textId="145DEBBD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F</w:t>
            </w: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ounded</w:t>
            </w:r>
          </w:p>
        </w:tc>
      </w:tr>
      <w:tr w:rsidR="00F97CA1" w:rsidRPr="00031A25" w14:paraId="15616183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7DEB9FB" w14:textId="53E69523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691A2BC" w14:textId="2FBA3417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Jackson Lewis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 xml:space="preserve">44 S. Broadway, 14th Fl, </w:t>
            </w:r>
            <w:r w:rsidR="00BB30C0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White Plains NY 10601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(914) 872-8060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br/>
            </w:r>
            <w:hyperlink r:id="rId10" w:history="1">
              <w:r w:rsidRPr="00F97CA1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jacksonlewis.com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5591F932" w14:textId="1D7E27D9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 xml:space="preserve">Scott T. Baken (Principal), Jenifer M. Bologna (Principal), Isaac J. Burker (Principal), Susan M. Corcoran (Principal), Joseph J. DiPalma (Principal and co-leader of Jackson Lewis' Practicing and Parenting resource group), Keith A. Dropkin (Principal), Susan D. </w:t>
            </w:r>
            <w:proofErr w:type="spellStart"/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Friedfel</w:t>
            </w:r>
            <w:proofErr w:type="spellEnd"/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 xml:space="preserve"> (Principal and co-leader of the firm's Education &amp; Collegiate Sports industry group), Robert J. Guidotti (Principal), Sean G. Hanagan (Principal), Michael R. </w:t>
            </w:r>
            <w:proofErr w:type="spellStart"/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Hekle</w:t>
            </w:r>
            <w:proofErr w:type="spellEnd"/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 xml:space="preserve"> (Principal), Edward V. Jeffrey (Principal), Richard D. Landau (Principal), Penny Ann Lieberman (Principal), William J. Manning (Principal), Joseph M. Martin (Principal), Rebecca M. McCloskey (Principal), Thomas P. McDonough (Principal), Otieno B. </w:t>
            </w:r>
            <w:proofErr w:type="spellStart"/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Ombok</w:t>
            </w:r>
            <w:proofErr w:type="spellEnd"/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 xml:space="preserve"> (Principal and co-leader of the Immigration practice group), Michelle E. Phillips (Principal), Joseph A. Saccomano, Jr. (Principal), Nadine T. Trinh (Principal), Monique Warren (, Matthew H. Woodard (Principal)</w:t>
            </w:r>
            <w:r w:rsidR="00BB30C0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joseph.saccomano@jacksonlewis.com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C1CC3E3" w14:textId="14BEA3C1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1,109 (48)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693C125" w14:textId="1E022590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485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D656E93" w14:textId="4E70191A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abor and employment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74FD7D8" w14:textId="27BA1846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1958</w:t>
            </w:r>
          </w:p>
        </w:tc>
      </w:tr>
      <w:tr w:rsidR="00F97CA1" w:rsidRPr="00031A25" w14:paraId="4F342D5F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E4BAC2" w14:textId="7528CC9F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FDDA01C" w14:textId="3F67E692" w:rsidR="00F97CA1" w:rsidRPr="00505210" w:rsidRDefault="00F97CA1" w:rsidP="00F97CA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Harris Beach Murtha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="00BB30C0" w:rsidRPr="00BB30C0">
              <w:rPr>
                <w:rFonts w:ascii="Calibri" w:eastAsia="Times New Roman" w:hAnsi="Calibri" w:cs="Calibri"/>
                <w:sz w:val="16"/>
                <w:szCs w:val="16"/>
              </w:rPr>
              <w:t xml:space="preserve">445 Hamilton Ave. Suite 1206, </w:t>
            </w:r>
            <w:r w:rsidR="00BB30C0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="00BB30C0" w:rsidRPr="00BB30C0">
              <w:rPr>
                <w:rFonts w:ascii="Calibri" w:eastAsia="Times New Roman" w:hAnsi="Calibri" w:cs="Calibri"/>
                <w:sz w:val="16"/>
                <w:szCs w:val="16"/>
              </w:rPr>
              <w:t>White Plains NY 10601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="00BB30C0" w:rsidRPr="00BB30C0">
              <w:rPr>
                <w:rFonts w:ascii="Calibri" w:eastAsia="Times New Roman" w:hAnsi="Calibri" w:cs="Calibri"/>
                <w:sz w:val="16"/>
                <w:szCs w:val="16"/>
              </w:rPr>
              <w:t>(914) 663-1200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br/>
            </w:r>
            <w:hyperlink r:id="rId11" w:history="1">
              <w:r w:rsidR="00BB30C0" w:rsidRPr="003E747B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harrisbeachmurtha.com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45420C6" w14:textId="6D9337B7" w:rsidR="00BB30C0" w:rsidRPr="00BB30C0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Christopher Jagel, C</w:t>
            </w:r>
            <w:r w:rsidR="008179E6"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O</w:t>
            </w:r>
            <w:r w:rsidR="008179E6" w:rsidRPr="001706CD">
              <w:rPr>
                <w:rFonts w:ascii="Calibri" w:eastAsia="Times New Roman" w:hAnsi="Calibri" w:cs="Calibri"/>
                <w:sz w:val="16"/>
                <w:szCs w:val="16"/>
              </w:rPr>
              <w:t>;</w:t>
            </w:r>
            <w:r w:rsidR="008179E6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="008179E6" w:rsidRPr="008179E6">
              <w:rPr>
                <w:rFonts w:ascii="Calibri" w:eastAsia="Times New Roman" w:hAnsi="Calibri" w:cs="Calibri"/>
                <w:sz w:val="16"/>
                <w:szCs w:val="16"/>
              </w:rPr>
              <w:t>Darius Chafizadeh, White Plains Office Managing Partner</w:t>
            </w:r>
            <w:r w:rsidR="00BB30C0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="00BB30C0" w:rsidRPr="00BB30C0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info@harrisbeachmurtha.com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A7A142A" w14:textId="3205952A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260+ (14)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6446A1" w14:textId="37A7700C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150+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9F6713F" w14:textId="594B2443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ppellate, business litigation, mass torts, industry-wide litigation, municipalities, local agencies, public finance, economic development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E6340CD" w14:textId="0872AE59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1856</w:t>
            </w:r>
          </w:p>
        </w:tc>
      </w:tr>
      <w:tr w:rsidR="00F97CA1" w:rsidRPr="00031A25" w14:paraId="2BB71FD7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405F9A8" w14:textId="45D95295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4476F35" w14:textId="7AD61B7B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Tully Rinckey PLC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 xml:space="preserve">1 N. Lexington Ave., Suite 401,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White Plains NY 10601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(914) 663-1200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br/>
            </w:r>
            <w:hyperlink r:id="rId12" w:history="1">
              <w:r w:rsidRPr="00BB30C0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tullyrinckey.com</w:t>
              </w:r>
            </w:hyperlink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382218B" w14:textId="15151AB8" w:rsidR="00BB30C0" w:rsidRPr="00BB30C0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Greg Rinckey, Managing Partner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info@tullylegal.com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4D8A71" w14:textId="0699753E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80 (3)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3C4ECB0" w14:textId="7334B9B5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26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4B8FB66" w14:textId="7E33BF75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mployment, family and matrimonial, education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99B76EC" w14:textId="370C9B0D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2004</w:t>
            </w:r>
          </w:p>
        </w:tc>
      </w:tr>
      <w:tr w:rsidR="00F97CA1" w:rsidRPr="00031A25" w14:paraId="2928CB37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1634CD" w14:textId="3D4206A8" w:rsidR="00F97CA1" w:rsidRPr="00031A25" w:rsidRDefault="00F97CA1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4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B0C80D0" w14:textId="77777777" w:rsidR="00BB30C0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Dorf Nelson &amp; Zauderer LLP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 xml:space="preserve">555 Theodore Fremd Ave., </w:t>
            </w:r>
          </w:p>
          <w:p w14:paraId="4CF49D0D" w14:textId="42C50E65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Rye NY 10580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(914) 381-7600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br/>
            </w:r>
            <w:hyperlink r:id="rId13" w:history="1">
              <w:r w:rsidRPr="003E747B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dorflaw.com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47BCA25" w14:textId="77777777" w:rsidR="00F97CA1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Jon Dorf, Esq., Managing Partner</w:t>
            </w:r>
          </w:p>
          <w:p w14:paraId="35174CD3" w14:textId="5D9451FE" w:rsidR="00BB30C0" w:rsidRPr="00BB30C0" w:rsidRDefault="00BB30C0" w:rsidP="00F97CA1">
            <w:pPr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i/>
                <w:sz w:val="16"/>
                <w:szCs w:val="16"/>
              </w:rPr>
              <w:t>mandrieux@dorflaw.com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F39C9DF" w14:textId="39D2A43C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62 (48)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7025B29" w14:textId="7C12B3AE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35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07003FE" w14:textId="3999E09C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ommercial real estate, land use, corporate, labor and employment, family and matrimonial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45607C8" w14:textId="25711A3A" w:rsidR="00F97CA1" w:rsidRPr="00031A25" w:rsidRDefault="00BB30C0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B30C0">
              <w:rPr>
                <w:rFonts w:ascii="Calibri" w:eastAsia="Times New Roman" w:hAnsi="Calibri" w:cs="Calibri"/>
                <w:sz w:val="16"/>
                <w:szCs w:val="16"/>
              </w:rPr>
              <w:t>1992</w:t>
            </w:r>
          </w:p>
        </w:tc>
      </w:tr>
      <w:tr w:rsidR="00D64B6D" w:rsidRPr="00031A25" w14:paraId="0A41FAE8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176923D" w14:textId="29061D6B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25DC96D" w14:textId="77777777" w:rsidR="00D64B6D" w:rsidRDefault="00D64B6D" w:rsidP="00D64B6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4B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Cassin &amp; Cassin</w:t>
            </w:r>
          </w:p>
          <w:p w14:paraId="05FB8D8B" w14:textId="77777777" w:rsid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 xml:space="preserve">2900 Westchester Ave.,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Purchase, NY 10577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  <w:t>(212) 972-6161</w:t>
            </w:r>
          </w:p>
          <w:p w14:paraId="5CD4E71B" w14:textId="6A8FCD6A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4" w:history="1">
              <w:r w:rsidRPr="00D64B6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cassinllp.com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73EAA8BB" w14:textId="6133CD1F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Michael Hurley, Managing Partner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D64B6D">
              <w:rPr>
                <w:rFonts w:ascii="Calibri" w:eastAsia="Times New Roman" w:hAnsi="Calibri" w:cs="Calibri"/>
                <w:i/>
                <w:sz w:val="16"/>
                <w:szCs w:val="16"/>
              </w:rPr>
              <w:t>mhurley@cassinllp.com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EB2D272" w14:textId="569D5B65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42 (20)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D403EDF" w14:textId="086FE38B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B8DABD" w14:textId="5F053DC1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ommercial real estate, real estate finance, private clients, trusts &amp; estate, residential real estate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2AC4373" w14:textId="6B574DD7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1986</w:t>
            </w:r>
          </w:p>
        </w:tc>
      </w:tr>
      <w:tr w:rsidR="00D64B6D" w:rsidRPr="00031A25" w14:paraId="653D5BFD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0C158EB" w14:textId="7C196C7D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550641A" w14:textId="77777777" w:rsidR="00D64B6D" w:rsidRDefault="00D64B6D" w:rsidP="00D64B6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4B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Cuddy &amp; Feder LLP</w:t>
            </w:r>
          </w:p>
          <w:p w14:paraId="547CF893" w14:textId="736D08C0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 xml:space="preserve">445 Hamilton Ave.,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White Plains, NY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  <w:t>(914) 761-1300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5" w:history="1">
              <w:r w:rsidRPr="00D64B6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cuddyfeder.com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6AC45592" w14:textId="77777777" w:rsid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Anthony Gioffre III, Managing Partner</w:t>
            </w:r>
          </w:p>
          <w:p w14:paraId="2401152C" w14:textId="0913C372" w:rsidR="00D64B6D" w:rsidRPr="00D64B6D" w:rsidRDefault="00D64B6D" w:rsidP="00D64B6D">
            <w:pPr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i/>
                <w:sz w:val="16"/>
                <w:szCs w:val="16"/>
              </w:rPr>
              <w:t>asteinberger@cuddyfeder.com</w:t>
            </w:r>
            <w:r w:rsidRPr="00D64B6D">
              <w:rPr>
                <w:rFonts w:ascii="Calibri" w:eastAsia="Times New Roman" w:hAnsi="Calibri" w:cs="Calibri"/>
                <w:i/>
                <w:sz w:val="16"/>
                <w:szCs w:val="16"/>
              </w:rPr>
              <w:br/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9590B00" w14:textId="75E5181C" w:rsidR="00D64B6D" w:rsidRP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38 (34)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807D28B" w14:textId="7AD818A5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20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F250CA3" w14:textId="65868A87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nergy, environmental, digital infrastructure, land use, zoning &amp; development, litigation, transactional, cannabis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B62C9DD" w14:textId="42351C18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1971</w:t>
            </w:r>
          </w:p>
        </w:tc>
      </w:tr>
      <w:tr w:rsidR="00D64B6D" w:rsidRPr="00031A25" w14:paraId="4E2B0118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1F38C05" w14:textId="7663DF42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DD0FCCB" w14:textId="77777777" w:rsidR="00D64B6D" w:rsidRDefault="00D64B6D" w:rsidP="00D64B6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4B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Leason Ellis LLP</w:t>
            </w:r>
          </w:p>
          <w:p w14:paraId="374F7428" w14:textId="4FCC8091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One N. Lexington Ave., Suite 1200, White Plains NY 10601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  <w:t>(914) 288-0022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6" w:history="1">
              <w:r w:rsidRPr="00D64B6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leasonellis.com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10B85FC6" w14:textId="77777777" w:rsid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Yuval Marcus, Esq., Managing Partner; Edward Ellis, Partner; David Leason, Partner</w:t>
            </w:r>
          </w:p>
          <w:p w14:paraId="0D1E3FB4" w14:textId="37FE28F1" w:rsidR="001C01F6" w:rsidRPr="001C01F6" w:rsidRDefault="001C01F6" w:rsidP="00D64B6D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leason@leasonellis.com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E280249" w14:textId="14BABE73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34 (34)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FECAFF7" w14:textId="54F88B0D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17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62783E7" w14:textId="480BEA0E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I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ntellectual property, patent prosecution, trademark prosecution, trade secrets, copyright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FC0159" w14:textId="447EFF6A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2008</w:t>
            </w:r>
          </w:p>
        </w:tc>
      </w:tr>
      <w:tr w:rsidR="00D64B6D" w:rsidRPr="00031A25" w14:paraId="19EADA3B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11BF0C" w14:textId="7078DDBC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A51DB5A" w14:textId="77777777" w:rsidR="00D64B6D" w:rsidRDefault="00D64B6D" w:rsidP="00D64B6D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64B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Fullerton Beck LLP</w:t>
            </w:r>
          </w:p>
          <w:p w14:paraId="6DDAF6D7" w14:textId="1D826916" w:rsidR="00D64B6D" w:rsidRPr="00031A25" w:rsidRDefault="00D64B6D" w:rsidP="00D64B6D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Four West Road Oak Lane, Suite 203, White Plains NY 10604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  <w:t>(914) 305-8634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7" w:history="1">
              <w:r w:rsidRPr="00D64B6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fullertonbeck.com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54E44A12" w14:textId="204767DA" w:rsid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Eileen Fullerton, Co-founder and Managing Partner; Katrine Beck, Partner</w:t>
            </w:r>
          </w:p>
          <w:p w14:paraId="043C7AE3" w14:textId="465BC8FE" w:rsidR="00D64B6D" w:rsidRPr="001C01F6" w:rsidRDefault="001C01F6" w:rsidP="00D64B6D">
            <w:pPr>
              <w:tabs>
                <w:tab w:val="left" w:pos="453"/>
              </w:tabs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i/>
                <w:sz w:val="16"/>
                <w:szCs w:val="16"/>
              </w:rPr>
              <w:t>info@fullertonbeck.com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F4315C8" w14:textId="0584B03B" w:rsid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26 (1)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BA75FC9" w14:textId="71D965F9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F12A2D3" w14:textId="7C767C0B" w:rsidR="00D64B6D" w:rsidRPr="00C86198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A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ppellate, NY labor law, general liability, medical malpractice, nursing home/long-term care, contracts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FD356B" w14:textId="5F14C1D7" w:rsidR="00D64B6D" w:rsidRPr="00C86198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2018</w:t>
            </w:r>
          </w:p>
        </w:tc>
      </w:tr>
      <w:tr w:rsidR="00D64B6D" w:rsidRPr="00031A25" w14:paraId="3041C550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F203A60" w14:textId="67DF71C0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26C5682" w14:textId="3946CBB2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DelBello Donnellan Weingarten Wise &amp; Wiederkehr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="001C01F6" w:rsidRPr="001C01F6">
              <w:rPr>
                <w:rFonts w:ascii="Calibri" w:eastAsia="Times New Roman" w:hAnsi="Calibri" w:cs="Calibri"/>
                <w:sz w:val="16"/>
                <w:szCs w:val="16"/>
              </w:rPr>
              <w:t>360 Hamilton Ave. 10th Fl., White Plains NY 10601</w:t>
            </w:r>
            <w:r w:rsidR="001C01F6" w:rsidRPr="001C01F6">
              <w:rPr>
                <w:rFonts w:ascii="Calibri" w:eastAsia="Times New Roman" w:hAnsi="Calibri" w:cs="Calibri"/>
                <w:sz w:val="16"/>
                <w:szCs w:val="16"/>
              </w:rPr>
              <w:br/>
              <w:t>(914) 681-0200</w:t>
            </w:r>
            <w:r w:rsidR="001C01F6" w:rsidRPr="001C01F6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8" w:history="1">
              <w:r w:rsidR="001C01F6" w:rsidRPr="001C01F6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ddw-law.com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42E3441E" w14:textId="2DC01ED8" w:rsidR="00D64B6D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Alfred Donnellan, Managing Partner; Mark Weingarten, Partner; Lee Wiederkehr, Partner; Ann Carlson, Partner; Heidi Winslow, Partner; Janet Giris, Partner; Peter Dawson, Partner</w:t>
            </w:r>
          </w:p>
          <w:p w14:paraId="5BDD9A38" w14:textId="5F7235F3" w:rsidR="001C01F6" w:rsidRPr="001C01F6" w:rsidRDefault="001C01F6" w:rsidP="00D64B6D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info@ddw-law.com</w:t>
            </w:r>
          </w:p>
          <w:p w14:paraId="313F86B4" w14:textId="60F069F5" w:rsidR="00D64B6D" w:rsidRPr="00D64B6D" w:rsidRDefault="00D64B6D" w:rsidP="00D64B6D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D1F7A2F" w14:textId="31767A47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22 (22)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B9F5242" w14:textId="756F4A4D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23B179" w14:textId="6B5D3E37" w:rsidR="00D64B6D" w:rsidRPr="00031A25" w:rsidRDefault="00D64B6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R</w:t>
            </w:r>
            <w:r w:rsidRPr="00D64B6D">
              <w:rPr>
                <w:rFonts w:ascii="Calibri" w:eastAsia="Times New Roman" w:hAnsi="Calibri" w:cs="Calibri"/>
                <w:sz w:val="16"/>
                <w:szCs w:val="16"/>
              </w:rPr>
              <w:t>eal estate, commercial finance, corporate law, commercial, land use and zoning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65C66C5" w14:textId="33829954" w:rsidR="00D64B6D" w:rsidRPr="00031A25" w:rsidRDefault="001C01F6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1995</w:t>
            </w:r>
          </w:p>
        </w:tc>
      </w:tr>
      <w:tr w:rsidR="00A77113" w:rsidRPr="00031A25" w14:paraId="1483E423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A069AF" w14:textId="43BDFBB7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10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B00374D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1C01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Yankwitt</w:t>
            </w:r>
            <w:proofErr w:type="spellEnd"/>
            <w:r w:rsidRPr="001C01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LLP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 xml:space="preserve">140 Grand St., Suite 705, </w:t>
            </w:r>
          </w:p>
          <w:p w14:paraId="19031340" w14:textId="32567D9C" w:rsidR="00A77113" w:rsidRPr="00596DA4" w:rsidRDefault="00A77113" w:rsidP="00A77113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White Plains NY 10601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  <w:t>(914) 686-1500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9" w:history="1">
              <w:r w:rsidRPr="00A81D6F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yankwitt.com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B1D8E15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Russell Yankwitt, Founder &amp; Managing Partner</w:t>
            </w:r>
          </w:p>
          <w:p w14:paraId="26064C54" w14:textId="77E08F3F" w:rsidR="00A77113" w:rsidRPr="001C01F6" w:rsidRDefault="00A77113" w:rsidP="00A77113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info@yankwitt.com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AAF055" w14:textId="7CE458FF" w:rsidR="00A77113" w:rsidRPr="008C7290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18 (18)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AD2C119" w14:textId="5F372B3E" w:rsidR="00A77113" w:rsidRPr="008C7290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46BC37" w14:textId="6282C60F" w:rsidR="00A77113" w:rsidRPr="008C7290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usiness litigation, criminal defense &amp; investigations, contract disputes, shareholder disputes, employment litigation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EAF659E" w14:textId="4DF513CD" w:rsidR="00A77113" w:rsidRPr="008C7290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2009</w:t>
            </w:r>
          </w:p>
        </w:tc>
      </w:tr>
      <w:tr w:rsidR="00A77113" w:rsidRPr="00031A25" w14:paraId="6BB10990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B2B184F" w14:textId="2C7A86BC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F505EB9" w14:textId="7DCC6102" w:rsidR="00A77113" w:rsidRPr="001C01F6" w:rsidRDefault="00A77113" w:rsidP="00A7711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C01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Zarin &amp; Steinmetz LLP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 xml:space="preserve">1 Main St., #415,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White Plains NY 10601</w:t>
            </w: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br/>
              <w:t>(914) 682-7800</w:t>
            </w: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0" w:history="1">
              <w:r w:rsidRPr="001C01F6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zarin-steinmetz.com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4B284FC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David Steinmetz, Managing Partner; Michael Zarin, Brad Schwartz; David Cooper, Senior Partners</w:t>
            </w:r>
          </w:p>
          <w:p w14:paraId="394EB8BF" w14:textId="6FA489BE" w:rsidR="00A77113" w:rsidRPr="001C01F6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dcooper@zarin-steinmetz.com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C12538D" w14:textId="164521D5" w:rsidR="00A77113" w:rsidRPr="001C01F6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17 (17)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61C0BBD" w14:textId="752F99C1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CFAF805" w14:textId="3E2A75DA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1C01F6">
              <w:rPr>
                <w:rFonts w:ascii="Calibri" w:eastAsia="Times New Roman" w:hAnsi="Calibri" w:cs="Calibri"/>
                <w:sz w:val="16"/>
                <w:szCs w:val="16"/>
              </w:rPr>
              <w:t>and development, zoning and land use, surrogate's court, environmental, transactional real estate, municipal, trusts and estates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309D805" w14:textId="7DF805E2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1997</w:t>
            </w:r>
          </w:p>
        </w:tc>
      </w:tr>
      <w:tr w:rsidR="00A77113" w:rsidRPr="00031A25" w14:paraId="5433BC71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DFEF151" w14:textId="6D89D5EC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87CACA8" w14:textId="50CFC8E3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A81D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Denlea</w:t>
            </w:r>
            <w:proofErr w:type="spellEnd"/>
            <w:r w:rsidRPr="00A81D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&amp; Carton LLP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Westchester Park Drive, Suite 410, White Plains NY 10604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  <w:t>(914) 331-0100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1" w:history="1">
              <w:r w:rsidRPr="00A81D6F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denleacarton.com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3D60D7F3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Jame Denlea, Jeffrey Carton</w:t>
            </w:r>
          </w:p>
          <w:p w14:paraId="3916CE62" w14:textId="29BBABB1" w:rsidR="00A77113" w:rsidRPr="00A81D6F" w:rsidRDefault="00A77113" w:rsidP="00A77113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info@denleacarton.com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1F8892B" w14:textId="5055FDDE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12 (6)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6B2EBD2" w14:textId="6B53E11E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90DAFC8" w14:textId="4CB65E1E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usiness litigation, health care, personal injury, class action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D1D52FE" w14:textId="72019A07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2012</w:t>
            </w:r>
          </w:p>
        </w:tc>
      </w:tr>
      <w:tr w:rsidR="00A77113" w:rsidRPr="00031A25" w14:paraId="3421FD99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CF2AC19" w14:textId="54359AF5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13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4C10DE1" w14:textId="5EE81DCD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McCullough, Goldberger &amp; Staudt LLP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1311 Mamaroneck Ave., Suite 340, White Plains NY 10605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  <w:t>(914) 949-6400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2" w:history="1">
              <w:r w:rsidRPr="00A81D6F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mgslawyers.com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1687A39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James Staudt, Senior Partner; Seth Mandelbaum, Managing Partner</w:t>
            </w:r>
          </w:p>
          <w:p w14:paraId="77C1F84E" w14:textId="20259F2C" w:rsidR="00A77113" w:rsidRPr="00A81D6F" w:rsidRDefault="00A77113" w:rsidP="00A77113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sciaccia@mgslawyers.com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D3E3F90" w14:textId="2CDDDB68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11 (11)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8195473" w14:textId="7B7DC1FE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EC99127" w14:textId="30EFD2FB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L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and use, environmental law, commercial construction, personal injury, appellate, municipal law, civil litigation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5D242AF" w14:textId="1E4ED140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1985</w:t>
            </w:r>
          </w:p>
        </w:tc>
      </w:tr>
      <w:tr w:rsidR="00A77113" w:rsidRPr="00031A25" w14:paraId="65C3FD2A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4AFBF1A" w14:textId="560589F8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14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D46BB" w:rsidRPr="008D46BB" w14:paraId="2EF8542F" w14:textId="77777777">
              <w:trPr>
                <w:trHeight w:val="320"/>
              </w:trPr>
              <w:tc>
                <w:tcPr>
                  <w:tcW w:w="3640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AE5438B" w14:textId="77777777" w:rsidR="008D46BB" w:rsidRDefault="008D46BB" w:rsidP="008D46BB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 w:rsidRPr="008D46B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Enea, Scanlan </w:t>
                  </w:r>
                </w:p>
                <w:p w14:paraId="5655A719" w14:textId="47F9F2D2" w:rsidR="008D46BB" w:rsidRPr="008D46BB" w:rsidRDefault="008D46BB" w:rsidP="008D46BB">
                  <w:pP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 w:rsidRPr="008D46B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&amp; Sirignano LLP</w:t>
                  </w:r>
                </w:p>
              </w:tc>
            </w:tr>
          </w:tbl>
          <w:p w14:paraId="593838BA" w14:textId="77777777" w:rsidR="008D46BB" w:rsidRPr="008D46BB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46BB">
              <w:rPr>
                <w:rFonts w:ascii="Calibri" w:eastAsia="Times New Roman" w:hAnsi="Calibri" w:cs="Calibri"/>
                <w:sz w:val="16"/>
                <w:szCs w:val="16"/>
              </w:rPr>
              <w:t>245 Main St., Suite 500</w:t>
            </w:r>
          </w:p>
          <w:p w14:paraId="0CAC55A9" w14:textId="77777777" w:rsidR="008D46BB" w:rsidRPr="008D46BB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46BB">
              <w:rPr>
                <w:rFonts w:ascii="Calibri" w:eastAsia="Times New Roman" w:hAnsi="Calibri" w:cs="Calibri"/>
                <w:sz w:val="16"/>
                <w:szCs w:val="16"/>
              </w:rPr>
              <w:t>White Plains NY 10601</w:t>
            </w:r>
          </w:p>
          <w:p w14:paraId="38594C02" w14:textId="77777777" w:rsidR="008D46BB" w:rsidRPr="008D46BB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46BB">
              <w:rPr>
                <w:rFonts w:ascii="Calibri" w:eastAsia="Times New Roman" w:hAnsi="Calibri" w:cs="Calibri"/>
                <w:sz w:val="16"/>
                <w:szCs w:val="16"/>
              </w:rPr>
              <w:t>(914) 948-1500</w:t>
            </w:r>
          </w:p>
          <w:p w14:paraId="354308F6" w14:textId="2029A54F" w:rsidR="00A77113" w:rsidRPr="00A81D6F" w:rsidRDefault="008D46BB" w:rsidP="008D46B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hyperlink r:id="rId23" w:history="1">
              <w:r w:rsidRPr="008D46BB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esslawfirm.com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19B07E14" w14:textId="20D5E227" w:rsidR="008D46BB" w:rsidRPr="008D46BB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46BB">
              <w:rPr>
                <w:rFonts w:ascii="Calibri" w:eastAsia="Times New Roman" w:hAnsi="Calibri" w:cs="Calibri"/>
                <w:sz w:val="16"/>
                <w:szCs w:val="16"/>
              </w:rPr>
              <w:t>Anthony Enea, Esq., Managing Partner a.enea@esslawfirm.com</w:t>
            </w:r>
          </w:p>
          <w:p w14:paraId="67BB87E7" w14:textId="5EDD8CFD" w:rsidR="008D46BB" w:rsidRPr="00A81D6F" w:rsidRDefault="008D46BB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0598E26" w14:textId="7476B866" w:rsidR="00A77113" w:rsidRPr="00A81D6F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11 (11)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6AF0A7E" w14:textId="098D1B5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4325094" w14:textId="2BF65E6E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W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ills, trusts &amp; estates, elder law/Medicaid, guardianship Article 81 and 17A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949F836" w14:textId="7895709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2002</w:t>
            </w:r>
          </w:p>
        </w:tc>
      </w:tr>
      <w:tr w:rsidR="00A77113" w:rsidRPr="00031A25" w14:paraId="41313B37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F5C8106" w14:textId="3EFDD980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15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ACEC0D6" w14:textId="7C42C902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Murtagh, Cossu, Vendetti &amp; Castro-Blanco LLP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222 Bloomingdale Road, Suite 202, White Plains NY 10605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  <w:t>(914) 288-9595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24" w:history="1">
              <w:r w:rsidRPr="00A81D6F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mcvclaw.com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E5B4876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David Vendetti, Partner; James Castro-Blanco, Partner</w:t>
            </w:r>
          </w:p>
          <w:p w14:paraId="786F9471" w14:textId="0E3ACD32" w:rsidR="00A77113" w:rsidRPr="00A81D6F" w:rsidRDefault="00A77113" w:rsidP="00A77113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jmurtagh@mcvclaw.com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8C89CC0" w14:textId="61B09F47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10 (10)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3321E69" w14:textId="3763782B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C55F84" w14:textId="02CF1C8A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T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ransactional real estate, personal injury, wrongful death, commercial, real estate, municipal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2EDF55D" w14:textId="4248B35E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2000</w:t>
            </w:r>
          </w:p>
        </w:tc>
      </w:tr>
      <w:tr w:rsidR="00A77113" w:rsidRPr="00031A25" w14:paraId="5B08BE48" w14:textId="77777777" w:rsidTr="00C75D90">
        <w:trPr>
          <w:trHeight w:val="1590"/>
          <w:tblHeader/>
        </w:trPr>
        <w:tc>
          <w:tcPr>
            <w:tcW w:w="4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FA40E2F" w14:textId="57285C58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16</w:t>
            </w:r>
          </w:p>
        </w:tc>
        <w:tc>
          <w:tcPr>
            <w:tcW w:w="2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BFA925B" w14:textId="77777777" w:rsidR="008D46BB" w:rsidRPr="008D46BB" w:rsidRDefault="00A77113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Kirby Aisner &amp; Curley LLP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br/>
            </w:r>
            <w:r w:rsidR="008D46BB" w:rsidRPr="008D46BB">
              <w:rPr>
                <w:rFonts w:ascii="Calibri" w:eastAsia="Times New Roman" w:hAnsi="Calibri" w:cs="Calibri"/>
                <w:sz w:val="16"/>
                <w:szCs w:val="16"/>
              </w:rPr>
              <w:t>700 Post Road, Suite 237</w:t>
            </w:r>
          </w:p>
          <w:p w14:paraId="76CD7849" w14:textId="77777777" w:rsidR="008D46BB" w:rsidRPr="008D46BB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46BB">
              <w:rPr>
                <w:rFonts w:ascii="Calibri" w:eastAsia="Times New Roman" w:hAnsi="Calibri" w:cs="Calibri"/>
                <w:sz w:val="16"/>
                <w:szCs w:val="16"/>
              </w:rPr>
              <w:t>Scarsdale NY 10583</w:t>
            </w:r>
          </w:p>
          <w:p w14:paraId="438C7072" w14:textId="77777777" w:rsidR="008D46BB" w:rsidRPr="008D46BB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46BB">
              <w:rPr>
                <w:rFonts w:ascii="Calibri" w:eastAsia="Times New Roman" w:hAnsi="Calibri" w:cs="Calibri"/>
                <w:sz w:val="16"/>
                <w:szCs w:val="16"/>
              </w:rPr>
              <w:t>(914) 401-9500</w:t>
            </w:r>
          </w:p>
          <w:p w14:paraId="43C0EACE" w14:textId="6196AF32" w:rsidR="00A77113" w:rsidRPr="00031A25" w:rsidRDefault="008D46BB" w:rsidP="008D46BB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25" w:history="1">
              <w:r w:rsidRPr="008D46BB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kacllp.com</w:t>
              </w:r>
            </w:hyperlink>
          </w:p>
        </w:tc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52753B5" w14:textId="77777777" w:rsidR="00A77113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Dawn Kirby, Erica Aisner, Julie Curley</w:t>
            </w:r>
          </w:p>
          <w:p w14:paraId="3ECEBEB6" w14:textId="13420381" w:rsidR="00A77113" w:rsidRPr="00A81D6F" w:rsidRDefault="00A77113" w:rsidP="00A77113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dkirby@kacllp.com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FCB07C" w14:textId="2BE17EDA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7 (7)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br/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B0B621C" w14:textId="6FD777DD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1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EBF9693" w14:textId="773964A8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A81D6F">
              <w:rPr>
                <w:rFonts w:ascii="Calibri" w:eastAsia="Times New Roman" w:hAnsi="Calibri" w:cs="Calibri"/>
                <w:sz w:val="16"/>
                <w:szCs w:val="16"/>
              </w:rPr>
              <w:t>orporate restructuring/bankruptcy, individual restructuring/bankruptcy, commercial real estate, workouts</w:t>
            </w:r>
          </w:p>
        </w:tc>
        <w:tc>
          <w:tcPr>
            <w:tcW w:w="8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7006D67" w14:textId="3CD5A0AC" w:rsidR="00A77113" w:rsidRPr="00031A25" w:rsidRDefault="00A77113" w:rsidP="00A7711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2019</w:t>
            </w:r>
          </w:p>
        </w:tc>
      </w:tr>
    </w:tbl>
    <w:p w14:paraId="6A0C58D8" w14:textId="77777777" w:rsidR="00300818" w:rsidRPr="002E5553" w:rsidRDefault="00300818" w:rsidP="008651C3">
      <w:pPr>
        <w:rPr>
          <w:sz w:val="16"/>
          <w:szCs w:val="16"/>
        </w:rPr>
      </w:pPr>
    </w:p>
    <w:sectPr w:rsidR="00300818" w:rsidRPr="002E5553" w:rsidSect="00EE68F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9DD3" w14:textId="77777777" w:rsidR="003A7A83" w:rsidRDefault="003A7A83" w:rsidP="00300818">
      <w:r>
        <w:separator/>
      </w:r>
    </w:p>
  </w:endnote>
  <w:endnote w:type="continuationSeparator" w:id="0">
    <w:p w14:paraId="2F2EC43C" w14:textId="77777777" w:rsidR="003A7A83" w:rsidRDefault="003A7A83" w:rsidP="0030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7F95" w14:textId="77777777" w:rsidR="00FD0AD4" w:rsidRDefault="00FD0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3AA0B" w14:paraId="0E9D886F" w14:textId="77777777" w:rsidTr="1773AA0B">
      <w:trPr>
        <w:trHeight w:val="300"/>
      </w:trPr>
      <w:tc>
        <w:tcPr>
          <w:tcW w:w="3120" w:type="dxa"/>
        </w:tcPr>
        <w:p w14:paraId="52C7DF0E" w14:textId="18A6EE9A" w:rsidR="1773AA0B" w:rsidRDefault="1773AA0B" w:rsidP="1773AA0B">
          <w:pPr>
            <w:pStyle w:val="Header"/>
            <w:ind w:left="-115"/>
          </w:pPr>
        </w:p>
      </w:tc>
      <w:tc>
        <w:tcPr>
          <w:tcW w:w="3120" w:type="dxa"/>
        </w:tcPr>
        <w:p w14:paraId="0EF97F5E" w14:textId="05527F91" w:rsidR="1773AA0B" w:rsidRDefault="1773AA0B" w:rsidP="1773AA0B">
          <w:pPr>
            <w:pStyle w:val="Header"/>
            <w:jc w:val="center"/>
          </w:pPr>
        </w:p>
      </w:tc>
      <w:tc>
        <w:tcPr>
          <w:tcW w:w="3120" w:type="dxa"/>
        </w:tcPr>
        <w:p w14:paraId="53951223" w14:textId="2A817554" w:rsidR="1773AA0B" w:rsidRDefault="1773AA0B" w:rsidP="1773AA0B">
          <w:pPr>
            <w:pStyle w:val="Header"/>
            <w:ind w:right="-115"/>
            <w:jc w:val="right"/>
          </w:pPr>
        </w:p>
      </w:tc>
    </w:tr>
  </w:tbl>
  <w:p w14:paraId="4E100603" w14:textId="1C843CB9" w:rsidR="1773AA0B" w:rsidRDefault="1773AA0B" w:rsidP="1773A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C1F0" w14:textId="77777777" w:rsidR="00FD0AD4" w:rsidRDefault="00FD0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FD04" w14:textId="77777777" w:rsidR="003A7A83" w:rsidRDefault="003A7A83" w:rsidP="00300818">
      <w:r>
        <w:separator/>
      </w:r>
    </w:p>
  </w:footnote>
  <w:footnote w:type="continuationSeparator" w:id="0">
    <w:p w14:paraId="02017CFE" w14:textId="77777777" w:rsidR="003A7A83" w:rsidRDefault="003A7A83" w:rsidP="0030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B652" w14:textId="77777777" w:rsidR="00FD0AD4" w:rsidRDefault="00FD0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28C7" w14:textId="71909942" w:rsidR="00921E5D" w:rsidRDefault="00921E5D" w:rsidP="006D1FE9">
    <w:pPr>
      <w:pStyle w:val="Head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2026 </w:t>
    </w:r>
    <w:r w:rsidRPr="00921E5D">
      <w:rPr>
        <w:b/>
        <w:bCs/>
        <w:sz w:val="44"/>
        <w:szCs w:val="44"/>
      </w:rPr>
      <w:t>Top Law firms in Westchester County</w:t>
    </w:r>
  </w:p>
  <w:p w14:paraId="77393D6D" w14:textId="22A11D25" w:rsidR="006D1FE9" w:rsidRPr="006D1FE9" w:rsidRDefault="00921E5D" w:rsidP="006D1FE9">
    <w:pPr>
      <w:pStyle w:val="Header"/>
      <w:rPr>
        <w:i/>
        <w:iCs/>
      </w:rPr>
    </w:pPr>
    <w:r w:rsidRPr="00921E5D">
      <w:rPr>
        <w:i/>
        <w:iCs/>
      </w:rPr>
      <w:t>Ranked by total number of attorneys</w:t>
    </w:r>
    <w:r>
      <w:rPr>
        <w:i/>
        <w:iCs/>
      </w:rPr>
      <w:t xml:space="preserve"> </w:t>
    </w:r>
    <w:r w:rsidR="006D1FE9" w:rsidRPr="006D1FE9">
      <w:rPr>
        <w:b/>
        <w:bCs/>
        <w:i/>
        <w:iCs/>
        <w:sz w:val="21"/>
        <w:szCs w:val="21"/>
      </w:rPr>
      <w:t xml:space="preserve">- </w:t>
    </w:r>
    <w:r w:rsidR="006D1FE9" w:rsidRPr="006D1FE9">
      <w:rPr>
        <w:i/>
        <w:iCs/>
        <w:sz w:val="21"/>
        <w:szCs w:val="21"/>
      </w:rPr>
      <w:t xml:space="preserve">Completed </w:t>
    </w:r>
    <w:r w:rsidR="00D1186F" w:rsidRPr="006D1FE9">
      <w:rPr>
        <w:i/>
        <w:iCs/>
        <w:sz w:val="21"/>
        <w:szCs w:val="21"/>
      </w:rPr>
      <w:t>by</w:t>
    </w:r>
    <w:r w:rsidR="006D1FE9" w:rsidRPr="006D1FE9">
      <w:rPr>
        <w:i/>
        <w:iCs/>
        <w:sz w:val="21"/>
        <w:szCs w:val="21"/>
      </w:rPr>
      <w:t xml:space="preserve"> Gary Larkin / glarkin@westfairinc.com - (973) 722-5642</w:t>
    </w:r>
  </w:p>
  <w:p w14:paraId="4BBC7847" w14:textId="77777777" w:rsidR="004B11BF" w:rsidRDefault="004B11BF" w:rsidP="1773AA0B">
    <w:pPr>
      <w:pStyle w:val="Header"/>
      <w:rPr>
        <w:i/>
        <w:iCs/>
      </w:rPr>
    </w:pPr>
  </w:p>
  <w:p w14:paraId="68F37FE4" w14:textId="68985C1F" w:rsidR="00921E5D" w:rsidRDefault="004B11BF" w:rsidP="1773AA0B">
    <w:pPr>
      <w:pStyle w:val="Header"/>
      <w:rPr>
        <w:color w:val="AEAAAA" w:themeColor="background2" w:themeShade="BF"/>
        <w:sz w:val="18"/>
        <w:szCs w:val="18"/>
      </w:rPr>
    </w:pPr>
    <w:r w:rsidRPr="004B11BF">
      <w:rPr>
        <w:color w:val="AEAAAA" w:themeColor="background2" w:themeShade="BF"/>
        <w:sz w:val="18"/>
        <w:szCs w:val="18"/>
      </w:rPr>
      <w:t>Sponsor by:</w:t>
    </w:r>
  </w:p>
  <w:p w14:paraId="5145E135" w14:textId="5A177484" w:rsidR="00921E5D" w:rsidRPr="00921E5D" w:rsidRDefault="00921E5D" w:rsidP="1773AA0B">
    <w:pPr>
      <w:pStyle w:val="Header"/>
      <w:rPr>
        <w:color w:val="AEAAAA" w:themeColor="background2" w:themeShade="BF"/>
        <w:sz w:val="18"/>
        <w:szCs w:val="18"/>
      </w:rPr>
    </w:pPr>
    <w:r>
      <w:rPr>
        <w:noProof/>
        <w:color w:val="AEAAAA" w:themeColor="background2" w:themeShade="BF"/>
        <w:sz w:val="18"/>
        <w:szCs w:val="18"/>
      </w:rPr>
      <w:drawing>
        <wp:inline distT="0" distB="0" distL="0" distR="0" wp14:anchorId="00CA8637" wp14:editId="6840B694">
          <wp:extent cx="1234440" cy="499944"/>
          <wp:effectExtent l="0" t="0" r="0" b="0"/>
          <wp:docPr id="128015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15673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5" b="30851"/>
                  <a:stretch>
                    <a:fillRect/>
                  </a:stretch>
                </pic:blipFill>
                <pic:spPr bwMode="auto">
                  <a:xfrm>
                    <a:off x="0" y="0"/>
                    <a:ext cx="1261619" cy="510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AEAAAA" w:themeColor="background2" w:themeShade="BF"/>
        <w:sz w:val="18"/>
        <w:szCs w:val="18"/>
      </w:rPr>
      <w:t xml:space="preserve"> </w:t>
    </w:r>
    <w:r w:rsidR="00FD0AD4">
      <w:rPr>
        <w:color w:val="AEAAAA" w:themeColor="background2" w:themeShade="BF"/>
        <w:sz w:val="18"/>
        <w:szCs w:val="18"/>
      </w:rPr>
      <w:t xml:space="preserve">    </w:t>
    </w:r>
    <w:r w:rsidR="00FD0AD4">
      <w:rPr>
        <w:noProof/>
        <w:color w:val="AEAAAA" w:themeColor="background2" w:themeShade="BF"/>
        <w:sz w:val="18"/>
        <w:szCs w:val="18"/>
      </w:rPr>
      <w:drawing>
        <wp:inline distT="0" distB="0" distL="0" distR="0" wp14:anchorId="53D7C944" wp14:editId="1851269F">
          <wp:extent cx="888274" cy="525107"/>
          <wp:effectExtent l="0" t="0" r="1270" b="0"/>
          <wp:docPr id="137652540" name="Picture 3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2540" name="Picture 3" descr="A logo with blue lette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7" b="16157"/>
                  <a:stretch>
                    <a:fillRect/>
                  </a:stretch>
                </pic:blipFill>
                <pic:spPr bwMode="auto">
                  <a:xfrm>
                    <a:off x="0" y="0"/>
                    <a:ext cx="921174" cy="544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D0AD4">
      <w:rPr>
        <w:color w:val="AEAAAA" w:themeColor="background2" w:themeShade="BF"/>
        <w:sz w:val="18"/>
        <w:szCs w:val="18"/>
      </w:rPr>
      <w:t xml:space="preserve">        </w:t>
    </w:r>
    <w:r w:rsidR="00FD0AD4">
      <w:rPr>
        <w:b/>
        <w:bCs/>
        <w:noProof/>
      </w:rPr>
      <w:drawing>
        <wp:inline distT="0" distB="0" distL="0" distR="0" wp14:anchorId="50DDDBAC" wp14:editId="6A4128A7">
          <wp:extent cx="1016391" cy="496525"/>
          <wp:effectExtent l="0" t="0" r="0" b="0"/>
          <wp:docPr id="481470138" name="Picture 1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470138" name="Picture 1" descr="A yellow sign with black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648" cy="515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EA7E6F" w14:textId="77777777" w:rsidR="004B11BF" w:rsidRDefault="004B11BF" w:rsidP="1773AA0B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81FF" w14:textId="77777777" w:rsidR="00FD0AD4" w:rsidRDefault="00FD0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025B"/>
    <w:multiLevelType w:val="multilevel"/>
    <w:tmpl w:val="F91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18"/>
    <w:rsid w:val="00010462"/>
    <w:rsid w:val="00031A25"/>
    <w:rsid w:val="00046F4B"/>
    <w:rsid w:val="0006073B"/>
    <w:rsid w:val="00142F73"/>
    <w:rsid w:val="001C01F6"/>
    <w:rsid w:val="00240A35"/>
    <w:rsid w:val="002A1F4D"/>
    <w:rsid w:val="002A7A2F"/>
    <w:rsid w:val="002D0730"/>
    <w:rsid w:val="002E5553"/>
    <w:rsid w:val="00300818"/>
    <w:rsid w:val="00311E34"/>
    <w:rsid w:val="0032395D"/>
    <w:rsid w:val="00357D29"/>
    <w:rsid w:val="00391DB7"/>
    <w:rsid w:val="003A7A83"/>
    <w:rsid w:val="003E0653"/>
    <w:rsid w:val="004214BE"/>
    <w:rsid w:val="004A3C2F"/>
    <w:rsid w:val="004B11BF"/>
    <w:rsid w:val="00505210"/>
    <w:rsid w:val="0051442E"/>
    <w:rsid w:val="00596DA4"/>
    <w:rsid w:val="005E6EF5"/>
    <w:rsid w:val="00606BA7"/>
    <w:rsid w:val="00607742"/>
    <w:rsid w:val="0064023F"/>
    <w:rsid w:val="006509B6"/>
    <w:rsid w:val="006517E1"/>
    <w:rsid w:val="006D1FE9"/>
    <w:rsid w:val="006E2F66"/>
    <w:rsid w:val="00724711"/>
    <w:rsid w:val="0074566E"/>
    <w:rsid w:val="007A6A97"/>
    <w:rsid w:val="008179E6"/>
    <w:rsid w:val="008651C3"/>
    <w:rsid w:val="00874F45"/>
    <w:rsid w:val="008C7290"/>
    <w:rsid w:val="008D46BB"/>
    <w:rsid w:val="00921E5D"/>
    <w:rsid w:val="00937E98"/>
    <w:rsid w:val="00941333"/>
    <w:rsid w:val="009614B8"/>
    <w:rsid w:val="00961C4A"/>
    <w:rsid w:val="009A7453"/>
    <w:rsid w:val="009D2D05"/>
    <w:rsid w:val="00A0073B"/>
    <w:rsid w:val="00A60F36"/>
    <w:rsid w:val="00A77113"/>
    <w:rsid w:val="00A81D6F"/>
    <w:rsid w:val="00AF4497"/>
    <w:rsid w:val="00B23724"/>
    <w:rsid w:val="00BB30C0"/>
    <w:rsid w:val="00BC1E09"/>
    <w:rsid w:val="00BD33A6"/>
    <w:rsid w:val="00C41DF4"/>
    <w:rsid w:val="00C50404"/>
    <w:rsid w:val="00C70F1C"/>
    <w:rsid w:val="00C755BA"/>
    <w:rsid w:val="00C75D90"/>
    <w:rsid w:val="00C86198"/>
    <w:rsid w:val="00CD5EAB"/>
    <w:rsid w:val="00CE1175"/>
    <w:rsid w:val="00CE20F2"/>
    <w:rsid w:val="00D1186F"/>
    <w:rsid w:val="00D64B6D"/>
    <w:rsid w:val="00D96C93"/>
    <w:rsid w:val="00DD7193"/>
    <w:rsid w:val="00E224AB"/>
    <w:rsid w:val="00E57407"/>
    <w:rsid w:val="00E74CE7"/>
    <w:rsid w:val="00EC1F65"/>
    <w:rsid w:val="00EE68F0"/>
    <w:rsid w:val="00F05C4A"/>
    <w:rsid w:val="00F97CA1"/>
    <w:rsid w:val="00FA6B71"/>
    <w:rsid w:val="00FC1977"/>
    <w:rsid w:val="00FD0AD4"/>
    <w:rsid w:val="00FD1D32"/>
    <w:rsid w:val="00FD4D35"/>
    <w:rsid w:val="0299507E"/>
    <w:rsid w:val="03D53AE3"/>
    <w:rsid w:val="06480B43"/>
    <w:rsid w:val="067AF3A9"/>
    <w:rsid w:val="0B4AAA09"/>
    <w:rsid w:val="0BC03108"/>
    <w:rsid w:val="0D0C90E2"/>
    <w:rsid w:val="0D89E4C4"/>
    <w:rsid w:val="0ECB32EF"/>
    <w:rsid w:val="104CFD97"/>
    <w:rsid w:val="1190945D"/>
    <w:rsid w:val="119A5EB9"/>
    <w:rsid w:val="12A2128B"/>
    <w:rsid w:val="165E0818"/>
    <w:rsid w:val="176EB7D0"/>
    <w:rsid w:val="1773AA0B"/>
    <w:rsid w:val="18832139"/>
    <w:rsid w:val="1EA07FD3"/>
    <w:rsid w:val="2080D663"/>
    <w:rsid w:val="238C414A"/>
    <w:rsid w:val="247A51D4"/>
    <w:rsid w:val="24DF0354"/>
    <w:rsid w:val="26945668"/>
    <w:rsid w:val="288C647C"/>
    <w:rsid w:val="29EF7AD1"/>
    <w:rsid w:val="2A0AF335"/>
    <w:rsid w:val="2A786282"/>
    <w:rsid w:val="332BA446"/>
    <w:rsid w:val="34CC2B48"/>
    <w:rsid w:val="36D610A6"/>
    <w:rsid w:val="3725B060"/>
    <w:rsid w:val="3A1E2747"/>
    <w:rsid w:val="3C7F74B4"/>
    <w:rsid w:val="41922716"/>
    <w:rsid w:val="4256EDC9"/>
    <w:rsid w:val="44C20451"/>
    <w:rsid w:val="4730E103"/>
    <w:rsid w:val="48CF7785"/>
    <w:rsid w:val="49AC6BD3"/>
    <w:rsid w:val="4D388E26"/>
    <w:rsid w:val="4F575B1E"/>
    <w:rsid w:val="4FF87A44"/>
    <w:rsid w:val="5235117C"/>
    <w:rsid w:val="523A1E03"/>
    <w:rsid w:val="52988655"/>
    <w:rsid w:val="5313D57E"/>
    <w:rsid w:val="5A1F1979"/>
    <w:rsid w:val="5AC12B9C"/>
    <w:rsid w:val="5BEC68B2"/>
    <w:rsid w:val="61A7A81D"/>
    <w:rsid w:val="6461A500"/>
    <w:rsid w:val="67E411FA"/>
    <w:rsid w:val="6AC6B666"/>
    <w:rsid w:val="6FA42EA0"/>
    <w:rsid w:val="70DC8B7C"/>
    <w:rsid w:val="740FE779"/>
    <w:rsid w:val="75DC2503"/>
    <w:rsid w:val="777D6DA2"/>
    <w:rsid w:val="782387CE"/>
    <w:rsid w:val="78E1C609"/>
    <w:rsid w:val="79128144"/>
    <w:rsid w:val="7F1A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5EF7F"/>
  <w15:chartTrackingRefBased/>
  <w15:docId w15:val="{723F864C-F1D2-B247-9E85-1691F39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18"/>
  </w:style>
  <w:style w:type="paragraph" w:styleId="Footer">
    <w:name w:val="footer"/>
    <w:basedOn w:val="Normal"/>
    <w:link w:val="Foot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818"/>
  </w:style>
  <w:style w:type="table" w:styleId="TableGrid">
    <w:name w:val="Table Grid"/>
    <w:basedOn w:val="TableNormal"/>
    <w:uiPriority w:val="3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3A1E274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21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4B6D"/>
    <w:rPr>
      <w:b/>
      <w:bCs/>
    </w:rPr>
  </w:style>
  <w:style w:type="character" w:customStyle="1" w:styleId="apple-converted-space">
    <w:name w:val="apple-converted-space"/>
    <w:basedOn w:val="DefaultParagraphFont"/>
    <w:rsid w:val="00D6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rflaw.com" TargetMode="External"/><Relationship Id="rId18" Type="http://schemas.openxmlformats.org/officeDocument/2006/relationships/hyperlink" Target="http://ddw-law.com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denleacarton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tullyrinckey.com/" TargetMode="External"/><Relationship Id="rId17" Type="http://schemas.openxmlformats.org/officeDocument/2006/relationships/hyperlink" Target="http://fullertonbeck.com/" TargetMode="External"/><Relationship Id="rId25" Type="http://schemas.openxmlformats.org/officeDocument/2006/relationships/hyperlink" Target="http://kacllp.com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leasonellis.com/" TargetMode="External"/><Relationship Id="rId20" Type="http://schemas.openxmlformats.org/officeDocument/2006/relationships/hyperlink" Target="http://zarin-steinmetz.com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arrisbeachmurtha.com" TargetMode="External"/><Relationship Id="rId24" Type="http://schemas.openxmlformats.org/officeDocument/2006/relationships/hyperlink" Target="http://mcvclaw.com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cuddyfeder.com/" TargetMode="External"/><Relationship Id="rId23" Type="http://schemas.openxmlformats.org/officeDocument/2006/relationships/hyperlink" Target="http://esslawfirm.com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jacksonlewis.com/" TargetMode="External"/><Relationship Id="rId19" Type="http://schemas.openxmlformats.org/officeDocument/2006/relationships/hyperlink" Target="http://yankwitt.com/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assinllp.com/" TargetMode="External"/><Relationship Id="rId22" Type="http://schemas.openxmlformats.org/officeDocument/2006/relationships/hyperlink" Target="http://mgslawyers.com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929c3-9cea-4506-b56c-a674aae8ea1d">
      <Terms xmlns="http://schemas.microsoft.com/office/infopath/2007/PartnerControls"/>
    </lcf76f155ced4ddcb4097134ff3c332f>
    <TaxCatchAll xmlns="45add184-1107-4cbe-b101-46ff8794b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4" ma:contentTypeDescription="Create a new document." ma:contentTypeScope="" ma:versionID="deb20e76a114add154713ddfd0d8785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1b5d72840e2fc34e228c1f4ebaee83ee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E5FD7-E219-4BD1-90E9-815558A95A94}">
  <ds:schemaRefs>
    <ds:schemaRef ds:uri="http://schemas.microsoft.com/office/2006/metadata/properties"/>
    <ds:schemaRef ds:uri="http://schemas.microsoft.com/office/infopath/2007/PartnerControls"/>
    <ds:schemaRef ds:uri="e31929c3-9cea-4506-b56c-a674aae8ea1d"/>
    <ds:schemaRef ds:uri="45add184-1107-4cbe-b101-46ff8794bd5f"/>
  </ds:schemaRefs>
</ds:datastoreItem>
</file>

<file path=customXml/itemProps2.xml><?xml version="1.0" encoding="utf-8"?>
<ds:datastoreItem xmlns:ds="http://schemas.openxmlformats.org/officeDocument/2006/customXml" ds:itemID="{A4D4ADDD-3FD1-4BC1-B3D6-3CBE449CA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56A67-9143-4872-94AB-C8FEFDF9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929c3-9cea-4506-b56c-a674aae8ea1d"/>
    <ds:schemaRef ds:uri="45add184-1107-4cbe-b101-46ff8794b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Vollaro</cp:lastModifiedBy>
  <cp:revision>42</cp:revision>
  <dcterms:created xsi:type="dcterms:W3CDTF">2024-12-12T21:35:00Z</dcterms:created>
  <dcterms:modified xsi:type="dcterms:W3CDTF">2026-04-14T14:52:00Z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0x010100AFD6109297944A43815ABC2B8E78714D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